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4" w:rsidRDefault="005A2DE4">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5A2DE4">
        <w:trPr>
          <w:trHeight w:val="1880"/>
        </w:trPr>
        <w:tc>
          <w:tcPr>
            <w:tcW w:w="195" w:type="dxa"/>
            <w:tcBorders>
              <w:top w:val="nil"/>
              <w:left w:val="nil"/>
              <w:bottom w:val="nil"/>
              <w:right w:val="nil"/>
            </w:tcBorders>
            <w:tcMar>
              <w:top w:w="100" w:type="dxa"/>
              <w:left w:w="100" w:type="dxa"/>
              <w:bottom w:w="100" w:type="dxa"/>
              <w:right w:w="100" w:type="dxa"/>
            </w:tcMar>
          </w:tcPr>
          <w:p w:rsidR="005A2DE4" w:rsidRDefault="00A40379">
            <w:pPr>
              <w:widowControl w:val="0"/>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tcMar>
              <w:top w:w="100" w:type="dxa"/>
              <w:left w:w="100" w:type="dxa"/>
              <w:bottom w:w="100" w:type="dxa"/>
              <w:right w:w="100" w:type="dxa"/>
            </w:tcMar>
          </w:tcPr>
          <w:p w:rsidR="005A2DE4" w:rsidRDefault="005A2DE4">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5A2DE4">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5A2DE4" w:rsidRDefault="00A40379">
                  <w:pPr>
                    <w:widowControl w:val="0"/>
                    <w:ind w:left="283"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5A2DE4" w:rsidRDefault="005A2DE4">
            <w:pPr>
              <w:spacing w:line="240" w:lineRule="auto"/>
              <w:jc w:val="both"/>
              <w:rPr>
                <w:rFonts w:ascii="Times New Roman" w:eastAsia="Times New Roman" w:hAnsi="Times New Roman" w:cs="Times New Roman"/>
                <w:b/>
                <w:sz w:val="28"/>
                <w:szCs w:val="28"/>
              </w:rPr>
            </w:pPr>
          </w:p>
          <w:p w:rsidR="005A2DE4" w:rsidRDefault="005A2DE4">
            <w:pPr>
              <w:ind w:left="60"/>
              <w:jc w:val="both"/>
              <w:rPr>
                <w:rFonts w:ascii="Times New Roman" w:eastAsia="Times New Roman" w:hAnsi="Times New Roman" w:cs="Times New Roman"/>
                <w:b/>
                <w:sz w:val="24"/>
                <w:szCs w:val="24"/>
              </w:rPr>
            </w:pPr>
          </w:p>
        </w:tc>
      </w:tr>
      <w:tr w:rsidR="005A2DE4">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5A2DE4" w:rsidRDefault="00A40379">
            <w:pPr>
              <w:spacing w:after="200"/>
              <w:ind w:left="60"/>
              <w:jc w:val="both"/>
              <w:rPr>
                <w:b/>
                <w:color w:val="00000A"/>
                <w:sz w:val="20"/>
                <w:szCs w:val="20"/>
              </w:rPr>
            </w:pPr>
            <w:r>
              <w:rPr>
                <w:b/>
                <w:color w:val="00000A"/>
                <w:sz w:val="20"/>
                <w:szCs w:val="20"/>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5A2DE4" w:rsidRDefault="00A40379">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5A2DE4" w:rsidRDefault="005A2DE4">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5A2DE4" w:rsidRDefault="005A2DE4">
            <w:pPr>
              <w:ind w:left="60"/>
              <w:jc w:val="both"/>
              <w:rPr>
                <w:rFonts w:ascii="Times New Roman" w:eastAsia="Times New Roman" w:hAnsi="Times New Roman" w:cs="Times New Roman"/>
                <w:b/>
                <w:sz w:val="24"/>
                <w:szCs w:val="24"/>
              </w:rPr>
            </w:pPr>
          </w:p>
        </w:tc>
      </w:tr>
      <w:tr w:rsidR="005A2DE4">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5A2DE4" w:rsidRDefault="00A40379">
            <w:pPr>
              <w:spacing w:after="200"/>
              <w:ind w:left="60"/>
              <w:jc w:val="both"/>
              <w:rPr>
                <w:b/>
                <w:color w:val="00000A"/>
                <w:sz w:val="20"/>
                <w:szCs w:val="20"/>
              </w:rPr>
            </w:pPr>
            <w:r>
              <w:rPr>
                <w:b/>
                <w:color w:val="00000A"/>
                <w:sz w:val="20"/>
                <w:szCs w:val="20"/>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5A2DE4" w:rsidRDefault="00A40379">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5A2DE4" w:rsidRDefault="005A2DE4">
      <w:pPr>
        <w:jc w:val="both"/>
        <w:rPr>
          <w:rFonts w:ascii="Times New Roman" w:eastAsia="Times New Roman" w:hAnsi="Times New Roman" w:cs="Times New Roman"/>
          <w:b/>
          <w:color w:val="00000A"/>
          <w:sz w:val="24"/>
          <w:szCs w:val="24"/>
        </w:rPr>
      </w:pPr>
    </w:p>
    <w:p w:rsidR="005A2DE4" w:rsidRDefault="00A40379">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5A2DE4">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5A2DE4" w:rsidRDefault="00A4037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5A2DE4" w:rsidRDefault="00A4037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5A2DE4" w:rsidRDefault="005A2DE4">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5A2DE4" w:rsidRDefault="00A40379">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lang w:val="ru-RU"/>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5A2DE4" w:rsidRDefault="005A2DE4">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5A2DE4" w:rsidRDefault="005A2DE4">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5A2DE4" w:rsidRDefault="005A2DE4">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5A2DE4">
              <w:trPr>
                <w:trHeight w:val="860"/>
              </w:trPr>
              <w:tc>
                <w:tcPr>
                  <w:tcW w:w="7308" w:type="dxa"/>
                  <w:tcBorders>
                    <w:top w:val="nil"/>
                    <w:left w:val="nil"/>
                    <w:bottom w:val="nil"/>
                    <w:right w:val="nil"/>
                  </w:tcBorders>
                  <w:vAlign w:val="bottom"/>
                </w:tcPr>
                <w:p w:rsidR="005A2DE4" w:rsidRDefault="005A2DE4">
                  <w:pPr>
                    <w:ind w:left="100"/>
                    <w:jc w:val="both"/>
                    <w:rPr>
                      <w:rFonts w:ascii="Times New Roman" w:eastAsia="Times New Roman" w:hAnsi="Times New Roman" w:cs="Times New Roman"/>
                      <w:b/>
                      <w:sz w:val="24"/>
                      <w:szCs w:val="24"/>
                    </w:rPr>
                  </w:pPr>
                </w:p>
                <w:p w:rsidR="005A2DE4" w:rsidRDefault="005A2DE4">
                  <w:pPr>
                    <w:ind w:left="100"/>
                    <w:jc w:val="both"/>
                    <w:rPr>
                      <w:rFonts w:ascii="Times New Roman" w:eastAsia="Times New Roman" w:hAnsi="Times New Roman" w:cs="Times New Roman"/>
                      <w:b/>
                      <w:sz w:val="24"/>
                      <w:szCs w:val="24"/>
                    </w:rPr>
                  </w:pPr>
                </w:p>
                <w:p w:rsidR="005A2DE4" w:rsidRDefault="00A40379">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Д.Ф. </w:t>
                  </w:r>
                  <w:proofErr w:type="spellStart"/>
                  <w:r>
                    <w:rPr>
                      <w:rFonts w:ascii="Times New Roman" w:eastAsia="Times New Roman" w:hAnsi="Times New Roman" w:cs="Times New Roman"/>
                      <w:b/>
                      <w:sz w:val="24"/>
                      <w:szCs w:val="24"/>
                    </w:rPr>
                    <w:t>Барсукова</w:t>
                  </w:r>
                  <w:proofErr w:type="spellEnd"/>
                </w:p>
              </w:tc>
            </w:tr>
          </w:tbl>
          <w:p w:rsidR="005A2DE4" w:rsidRDefault="005A2DE4">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5A2DE4" w:rsidRDefault="005A2DE4">
            <w:pPr>
              <w:ind w:left="100"/>
              <w:jc w:val="both"/>
              <w:rPr>
                <w:rFonts w:ascii="Times New Roman" w:eastAsia="Times New Roman" w:hAnsi="Times New Roman" w:cs="Times New Roman"/>
                <w:b/>
                <w:sz w:val="24"/>
                <w:szCs w:val="24"/>
              </w:rPr>
            </w:pPr>
          </w:p>
        </w:tc>
      </w:tr>
    </w:tbl>
    <w:p w:rsidR="005A2DE4" w:rsidRDefault="00A40379">
      <w:pPr>
        <w:spacing w:line="240" w:lineRule="auto"/>
        <w:jc w:val="both"/>
        <w:rPr>
          <w:rFonts w:ascii="Times New Roman" w:eastAsia="Times New Roman" w:hAnsi="Times New Roman" w:cs="Times New Roman"/>
          <w:b/>
          <w:i/>
        </w:rPr>
      </w:pPr>
      <w:r>
        <w:br w:type="page"/>
      </w:r>
    </w:p>
    <w:p w:rsidR="005A2DE4" w:rsidRDefault="00A40379">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1</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«Открытость и доступность информации об организации социальной сферы»</w:t>
      </w:r>
    </w:p>
    <w:p w:rsidR="005A2DE4" w:rsidRDefault="00A40379">
      <w:pPr>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2</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w:t>
      </w:r>
      <w:proofErr w:type="gramStart"/>
      <w:r>
        <w:rPr>
          <w:rFonts w:ascii="Times New Roman" w:eastAsia="Times New Roman" w:hAnsi="Times New Roman" w:cs="Times New Roman"/>
          <w:i/>
          <w:sz w:val="24"/>
          <w:szCs w:val="24"/>
        </w:rPr>
        <w:t>ф</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количество баллов за каждое комфортное условие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услуг удовлетворенных комфортностью предоставления услуг организацией социальной сферы</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proofErr w:type="gramStart"/>
      <w:r>
        <w:rPr>
          <w:rFonts w:ascii="Times New Roman" w:eastAsia="Times New Roman" w:hAnsi="Times New Roman" w:cs="Times New Roman"/>
          <w:i/>
          <w:sz w:val="24"/>
          <w:szCs w:val="24"/>
        </w:rPr>
        <w:t>4</w:t>
      </w:r>
      <w:proofErr w:type="gramEnd"/>
      <w:r>
        <w:rPr>
          <w:rFonts w:ascii="Times New Roman" w:eastAsia="Times New Roman" w:hAnsi="Times New Roman" w:cs="Times New Roman"/>
          <w:i/>
          <w:sz w:val="24"/>
          <w:szCs w:val="24"/>
        </w:rPr>
        <w:t xml:space="preserve"> - Показатель, характеризующий критерий оценки качества «Доброжелательность, вежливость работников организации социальной сферы»</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w:t>
      </w:r>
      <w:proofErr w:type="gramStart"/>
      <w:r>
        <w:rPr>
          <w:rFonts w:ascii="Times New Roman" w:eastAsia="Times New Roman" w:hAnsi="Times New Roman" w:cs="Times New Roman"/>
          <w:i/>
          <w:sz w:val="24"/>
          <w:szCs w:val="24"/>
        </w:rPr>
        <w:t>.к</w:t>
      </w:r>
      <w:proofErr w:type="gramEnd"/>
      <w:r>
        <w:rPr>
          <w:rFonts w:ascii="Times New Roman" w:eastAsia="Times New Roman" w:hAnsi="Times New Roman" w:cs="Times New Roman"/>
          <w:i/>
          <w:sz w:val="24"/>
          <w:szCs w:val="24"/>
        </w:rPr>
        <w:t>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w:t>
      </w:r>
      <w:proofErr w:type="gramStart"/>
      <w:r>
        <w:rPr>
          <w:rFonts w:ascii="Times New Roman" w:eastAsia="Times New Roman" w:hAnsi="Times New Roman" w:cs="Times New Roman"/>
          <w:i/>
          <w:sz w:val="24"/>
          <w:szCs w:val="24"/>
        </w:rPr>
        <w:t>.д</w:t>
      </w:r>
      <w:proofErr w:type="gramEnd"/>
      <w:r>
        <w:rPr>
          <w:rFonts w:ascii="Times New Roman" w:eastAsia="Times New Roman" w:hAnsi="Times New Roman" w:cs="Times New Roman"/>
          <w:i/>
          <w:sz w:val="24"/>
          <w:szCs w:val="24"/>
        </w:rPr>
        <w:t>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w:t>
      </w:r>
      <w:proofErr w:type="gramStart"/>
      <w:r>
        <w:rPr>
          <w:rFonts w:ascii="Times New Roman" w:eastAsia="Times New Roman" w:hAnsi="Times New Roman" w:cs="Times New Roman"/>
          <w:i/>
          <w:sz w:val="24"/>
          <w:szCs w:val="24"/>
        </w:rPr>
        <w:t>.у</w:t>
      </w:r>
      <w:proofErr w:type="gramEnd"/>
      <w:r>
        <w:rPr>
          <w:rFonts w:ascii="Times New Roman" w:eastAsia="Times New Roman" w:hAnsi="Times New Roman" w:cs="Times New Roman"/>
          <w:i/>
          <w:sz w:val="24"/>
          <w:szCs w:val="24"/>
        </w:rPr>
        <w:t>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5A2DE4" w:rsidRDefault="00A40379">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5A2DE4" w:rsidRDefault="00A4037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5A2DE4" w:rsidRDefault="00A40379">
      <w:pPr>
        <w:jc w:val="both"/>
        <w:rPr>
          <w:rFonts w:ascii="Times New Roman" w:eastAsia="Times New Roman" w:hAnsi="Times New Roman" w:cs="Times New Roman"/>
          <w:i/>
          <w:sz w:val="24"/>
          <w:szCs w:val="24"/>
        </w:rPr>
      </w:pPr>
      <w:r>
        <w:br w:type="page"/>
      </w:r>
    </w:p>
    <w:p w:rsidR="005A2DE4" w:rsidRDefault="00A4037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5A2DE4" w:rsidRDefault="005A2DE4">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5A2DE4">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5A2DE4" w:rsidRDefault="005A2DE4">
      <w:pPr>
        <w:pBdr>
          <w:top w:val="nil"/>
          <w:left w:val="nil"/>
          <w:bottom w:val="nil"/>
          <w:right w:val="nil"/>
          <w:between w:val="nil"/>
        </w:pBdr>
        <w:spacing w:line="240" w:lineRule="auto"/>
        <w:ind w:left="720"/>
        <w:jc w:val="both"/>
        <w:rPr>
          <w:rFonts w:ascii="Times New Roman" w:eastAsia="Times New Roman" w:hAnsi="Times New Roman" w:cs="Times New Roman"/>
        </w:rPr>
      </w:pPr>
    </w:p>
    <w:p w:rsidR="005A2DE4" w:rsidRDefault="00A4037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Pr>
          <w:rFonts w:ascii="Times New Roman" w:eastAsia="Times New Roman" w:hAnsi="Times New Roman" w:cs="Times New Roman"/>
        </w:rPr>
        <w:t xml:space="preserve"> которых </w:t>
      </w:r>
      <w:proofErr w:type="gramStart"/>
      <w:r>
        <w:rPr>
          <w:rFonts w:ascii="Times New Roman" w:eastAsia="Times New Roman" w:hAnsi="Times New Roman" w:cs="Times New Roman"/>
        </w:rPr>
        <w:t>представлен</w:t>
      </w:r>
      <w:proofErr w:type="gramEnd"/>
      <w:r>
        <w:rPr>
          <w:rFonts w:ascii="Times New Roman" w:eastAsia="Times New Roman" w:hAnsi="Times New Roman" w:cs="Times New Roman"/>
        </w:rPr>
        <w:t xml:space="preserve"> в техническом задании к договору (контракту), в рамках которой проводилась данная процедура.</w:t>
      </w:r>
    </w:p>
    <w:p w:rsidR="005A2DE4" w:rsidRDefault="005A2DE4">
      <w:pPr>
        <w:pBdr>
          <w:top w:val="nil"/>
          <w:left w:val="nil"/>
          <w:bottom w:val="nil"/>
          <w:right w:val="nil"/>
          <w:between w:val="nil"/>
        </w:pBdr>
        <w:spacing w:line="240" w:lineRule="auto"/>
        <w:ind w:left="720"/>
        <w:jc w:val="both"/>
        <w:rPr>
          <w:rFonts w:ascii="Times New Roman" w:eastAsia="Times New Roman" w:hAnsi="Times New Roman" w:cs="Times New Roman"/>
        </w:rPr>
      </w:pPr>
    </w:p>
    <w:p w:rsidR="005A2DE4" w:rsidRDefault="00A40379">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5A2DE4" w:rsidRDefault="005A2DE4">
      <w:pPr>
        <w:spacing w:line="240" w:lineRule="auto"/>
        <w:ind w:left="720"/>
        <w:jc w:val="both"/>
        <w:rPr>
          <w:rFonts w:ascii="Times New Roman" w:eastAsia="Times New Roman" w:hAnsi="Times New Roman" w:cs="Times New Roman"/>
        </w:rPr>
      </w:pPr>
    </w:p>
    <w:p w:rsidR="005A2DE4" w:rsidRDefault="00A40379">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rPr>
        <w:t>Sn</w:t>
      </w:r>
      <w:proofErr w:type="spellEnd"/>
      <w:r>
        <w:rPr>
          <w:rFonts w:ascii="Times New Roman" w:eastAsia="Times New Roman" w:hAnsi="Times New Roman" w:cs="Times New Roman"/>
        </w:rPr>
        <w:t xml:space="preserve"> - итоговый показатель оценки качества организации.</w:t>
      </w:r>
    </w:p>
    <w:p w:rsidR="005A2DE4" w:rsidRDefault="005A2DE4">
      <w:pPr>
        <w:spacing w:line="240" w:lineRule="auto"/>
        <w:ind w:left="720"/>
        <w:jc w:val="both"/>
        <w:rPr>
          <w:rFonts w:ascii="Times New Roman" w:eastAsia="Times New Roman" w:hAnsi="Times New Roman" w:cs="Times New Roman"/>
        </w:rPr>
      </w:pPr>
    </w:p>
    <w:p w:rsidR="005A2DE4" w:rsidRDefault="00A4037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5A2DE4" w:rsidRDefault="005A2DE4">
      <w:pPr>
        <w:pBdr>
          <w:top w:val="nil"/>
          <w:left w:val="nil"/>
          <w:bottom w:val="nil"/>
          <w:right w:val="nil"/>
          <w:between w:val="nil"/>
        </w:pBdr>
        <w:spacing w:line="240" w:lineRule="auto"/>
        <w:ind w:left="720"/>
        <w:jc w:val="both"/>
        <w:rPr>
          <w:rFonts w:ascii="Times New Roman" w:eastAsia="Times New Roman" w:hAnsi="Times New Roman" w:cs="Times New Roman"/>
        </w:rPr>
      </w:pPr>
    </w:p>
    <w:p w:rsidR="005A2DE4" w:rsidRDefault="00A4037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5A2DE4" w:rsidRDefault="005A2DE4">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5A2DE4">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A2DE4">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5A2DE4" w:rsidRDefault="005A2DE4">
      <w:pPr>
        <w:spacing w:line="240" w:lineRule="auto"/>
        <w:jc w:val="both"/>
        <w:rPr>
          <w:rFonts w:ascii="Times New Roman" w:eastAsia="Times New Roman" w:hAnsi="Times New Roman" w:cs="Times New Roman"/>
          <w:sz w:val="20"/>
          <w:szCs w:val="20"/>
        </w:rPr>
      </w:pPr>
    </w:p>
    <w:p w:rsidR="005A2DE4" w:rsidRDefault="005A2DE4">
      <w:pPr>
        <w:spacing w:line="240" w:lineRule="auto"/>
        <w:jc w:val="both"/>
        <w:rPr>
          <w:rFonts w:ascii="Times New Roman" w:eastAsia="Times New Roman" w:hAnsi="Times New Roman" w:cs="Times New Roman"/>
          <w:b/>
          <w:sz w:val="28"/>
          <w:szCs w:val="28"/>
        </w:rPr>
      </w:pPr>
    </w:p>
    <w:p w:rsidR="005A2DE4" w:rsidRDefault="00A40379">
      <w:pPr>
        <w:spacing w:line="240" w:lineRule="auto"/>
        <w:jc w:val="both"/>
        <w:rPr>
          <w:rFonts w:ascii="Times New Roman" w:eastAsia="Times New Roman" w:hAnsi="Times New Roman" w:cs="Times New Roman"/>
        </w:rPr>
      </w:pPr>
      <w:r>
        <w:br w:type="page"/>
      </w:r>
    </w:p>
    <w:p w:rsidR="005A2DE4" w:rsidRDefault="00A40379">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 целях определения итогового показателя  были рассчитаны следующие показатели оценки:</w:t>
      </w:r>
    </w:p>
    <w:p w:rsidR="005A2DE4" w:rsidRDefault="005A2DE4">
      <w:pPr>
        <w:spacing w:line="240" w:lineRule="auto"/>
        <w:jc w:val="both"/>
        <w:rPr>
          <w:rFonts w:ascii="Times New Roman" w:eastAsia="Times New Roman" w:hAnsi="Times New Roman" w:cs="Times New Roman"/>
        </w:rPr>
      </w:pPr>
    </w:p>
    <w:p w:rsidR="005A2DE4" w:rsidRDefault="00A4037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 Показатель, характеризующий критерий оценки качества «Открытость и доступность информации об организации социальной сферы»</w:t>
      </w:r>
    </w:p>
    <w:p w:rsidR="005A2DE4" w:rsidRDefault="005A2DE4">
      <w:pPr>
        <w:pBdr>
          <w:top w:val="nil"/>
          <w:left w:val="nil"/>
          <w:bottom w:val="nil"/>
          <w:right w:val="nil"/>
          <w:between w:val="nil"/>
        </w:pBdr>
        <w:spacing w:line="240" w:lineRule="auto"/>
        <w:jc w:val="both"/>
        <w:rPr>
          <w:rFonts w:ascii="Times New Roman" w:eastAsia="Times New Roman" w:hAnsi="Times New Roman" w:cs="Times New Roman"/>
        </w:rPr>
      </w:pPr>
    </w:p>
    <w:p w:rsidR="005A2DE4" w:rsidRDefault="00A4037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 Показатель, характеризующий критерий оценки качества «Комфортность условий предоставления услуг»</w:t>
      </w:r>
    </w:p>
    <w:p w:rsidR="005A2DE4" w:rsidRDefault="005A2DE4">
      <w:pPr>
        <w:pBdr>
          <w:top w:val="nil"/>
          <w:left w:val="nil"/>
          <w:bottom w:val="nil"/>
          <w:right w:val="nil"/>
          <w:between w:val="nil"/>
        </w:pBdr>
        <w:spacing w:line="240" w:lineRule="auto"/>
        <w:jc w:val="both"/>
        <w:rPr>
          <w:rFonts w:ascii="Times New Roman" w:eastAsia="Times New Roman" w:hAnsi="Times New Roman" w:cs="Times New Roman"/>
        </w:rPr>
      </w:pPr>
    </w:p>
    <w:p w:rsidR="005A2DE4" w:rsidRDefault="00A4037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К3 - Показатель, характеризующий критерий оценки качества «Доступность услуг для инвалидов»</w:t>
      </w:r>
    </w:p>
    <w:p w:rsidR="005A2DE4" w:rsidRDefault="005A2DE4">
      <w:pPr>
        <w:pBdr>
          <w:top w:val="nil"/>
          <w:left w:val="nil"/>
          <w:bottom w:val="nil"/>
          <w:right w:val="nil"/>
          <w:between w:val="nil"/>
        </w:pBdr>
        <w:spacing w:line="240" w:lineRule="auto"/>
        <w:jc w:val="both"/>
        <w:rPr>
          <w:rFonts w:ascii="Times New Roman" w:eastAsia="Times New Roman" w:hAnsi="Times New Roman" w:cs="Times New Roman"/>
        </w:rPr>
      </w:pPr>
    </w:p>
    <w:p w:rsidR="005A2DE4" w:rsidRDefault="00A4037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 Показатель, характеризующий критерий оценки качества «Доброжелательность, вежливость работников организации социальной сферы»</w:t>
      </w:r>
    </w:p>
    <w:p w:rsidR="005A2DE4" w:rsidRDefault="005A2DE4">
      <w:pPr>
        <w:pBdr>
          <w:top w:val="nil"/>
          <w:left w:val="nil"/>
          <w:bottom w:val="nil"/>
          <w:right w:val="nil"/>
          <w:between w:val="nil"/>
        </w:pBdr>
        <w:spacing w:line="240" w:lineRule="auto"/>
        <w:jc w:val="both"/>
        <w:rPr>
          <w:rFonts w:ascii="Times New Roman" w:eastAsia="Times New Roman" w:hAnsi="Times New Roman" w:cs="Times New Roman"/>
        </w:rPr>
      </w:pPr>
    </w:p>
    <w:p w:rsidR="005A2DE4" w:rsidRDefault="00A40379">
      <w:p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К5 - Показатель, характеризующий критерий оценки качества «Удовлетворенность условиями оказания услуг»</w:t>
      </w:r>
    </w:p>
    <w:p w:rsidR="005A2DE4" w:rsidRDefault="005A2DE4">
      <w:pPr>
        <w:pBdr>
          <w:top w:val="nil"/>
          <w:left w:val="nil"/>
          <w:bottom w:val="nil"/>
          <w:right w:val="nil"/>
          <w:between w:val="nil"/>
        </w:pBdr>
        <w:spacing w:line="240" w:lineRule="auto"/>
        <w:jc w:val="both"/>
        <w:rPr>
          <w:rFonts w:ascii="Times New Roman" w:eastAsia="Times New Roman" w:hAnsi="Times New Roman" w:cs="Times New Roman"/>
        </w:rPr>
      </w:pPr>
    </w:p>
    <w:p w:rsidR="005A2DE4" w:rsidRDefault="00A4037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5A2DE4" w:rsidRDefault="005A2DE4">
      <w:pPr>
        <w:spacing w:line="240" w:lineRule="auto"/>
        <w:jc w:val="both"/>
        <w:rPr>
          <w:rFonts w:ascii="Times New Roman" w:eastAsia="Times New Roman" w:hAnsi="Times New Roman" w:cs="Times New Roman"/>
        </w:rPr>
      </w:pPr>
    </w:p>
    <w:p w:rsidR="005A2DE4" w:rsidRDefault="00A4037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5A2DE4">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rPr>
            </w:pPr>
            <w:r>
              <w:rPr>
                <w:rFonts w:ascii="Times New Roman" w:eastAsia="Times New Roman" w:hAnsi="Times New Roman" w:cs="Times New Roman"/>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rPr>
            </w:pPr>
            <w:r>
              <w:rPr>
                <w:rFonts w:ascii="Times New Roman" w:eastAsia="Times New Roman" w:hAnsi="Times New Roman" w:cs="Times New Roman"/>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rPr>
            </w:pPr>
            <w:r>
              <w:rPr>
                <w:rFonts w:ascii="Times New Roman" w:eastAsia="Times New Roman" w:hAnsi="Times New Roman" w:cs="Times New Roman"/>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5A2DE4">
            <w:pPr>
              <w:widowControl w:val="0"/>
              <w:rPr>
                <w:sz w:val="20"/>
                <w:szCs w:val="20"/>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center"/>
              <w:rPr>
                <w:sz w:val="20"/>
                <w:szCs w:val="20"/>
              </w:rPr>
            </w:pPr>
            <w:r>
              <w:rPr>
                <w:rFonts w:ascii="Times New Roman" w:eastAsia="Times New Roman" w:hAnsi="Times New Roman" w:cs="Times New Roman"/>
              </w:rPr>
              <w:t>Показатели оценки</w:t>
            </w:r>
          </w:p>
        </w:tc>
      </w:tr>
      <w:tr w:rsidR="005A2DE4">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5A2DE4">
            <w:pPr>
              <w:widowControl w:val="0"/>
              <w:rPr>
                <w:rFonts w:ascii="Times New Roman" w:eastAsia="Times New Roman" w:hAnsi="Times New Roman" w:cs="Times New Roman"/>
                <w:sz w:val="20"/>
                <w:szCs w:val="20"/>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5A2DE4">
            <w:pPr>
              <w:widowControl w:val="0"/>
              <w:rPr>
                <w:rFonts w:ascii="Times New Roman" w:eastAsia="Times New Roman" w:hAnsi="Times New Roman" w:cs="Times New Roman"/>
                <w:sz w:val="20"/>
                <w:szCs w:val="20"/>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20"/>
                <w:szCs w:val="20"/>
              </w:rPr>
            </w:pPr>
            <w:r>
              <w:rPr>
                <w:rFonts w:ascii="Times New Roman" w:eastAsia="Times New Roman" w:hAnsi="Times New Roman" w:cs="Times New Roman"/>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Итоговый показатель оценки качества</w:t>
            </w:r>
          </w:p>
        </w:tc>
      </w:tr>
      <w:tr w:rsidR="005A2DE4">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w:t>
            </w:r>
          </w:p>
        </w:tc>
      </w:tr>
      <w:tr w:rsidR="005A2DE4">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w:t>
            </w:r>
          </w:p>
        </w:tc>
      </w:tr>
      <w:tr w:rsidR="005A2DE4">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r>
      <w:tr w:rsidR="005A2DE4">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r>
      <w:tr w:rsidR="005A2DE4">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0</w:t>
            </w:r>
          </w:p>
        </w:tc>
      </w:tr>
      <w:tr w:rsidR="005A2DE4">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87,15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80,80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29,68</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87,44</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87,72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74,56</w:t>
            </w:r>
          </w:p>
        </w:tc>
      </w:tr>
      <w:tr w:rsidR="005A2DE4">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91,50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57,10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91,40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92,60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81,02</w:t>
            </w:r>
          </w:p>
        </w:tc>
      </w:tr>
      <w:tr w:rsidR="005A2DE4">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82,20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56,00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82,60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81,40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70,30</w:t>
            </w:r>
          </w:p>
        </w:tc>
      </w:tr>
      <w:tr w:rsidR="005A2DE4">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35,50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49,10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11,20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10,72</w:t>
            </w:r>
          </w:p>
        </w:tc>
      </w:tr>
    </w:tbl>
    <w:p w:rsidR="005A2DE4" w:rsidRDefault="005A2DE4">
      <w:pPr>
        <w:spacing w:line="240" w:lineRule="auto"/>
        <w:jc w:val="both"/>
        <w:rPr>
          <w:rFonts w:ascii="Times New Roman" w:eastAsia="Times New Roman" w:hAnsi="Times New Roman" w:cs="Times New Roman"/>
        </w:rPr>
        <w:sectPr w:rsidR="005A2DE4">
          <w:headerReference w:type="default" r:id="rId9"/>
          <w:footerReference w:type="default" r:id="rId10"/>
          <w:pgSz w:w="11906" w:h="16838"/>
          <w:pgMar w:top="1133" w:right="566" w:bottom="566" w:left="566" w:header="720" w:footer="720" w:gutter="0"/>
          <w:pgNumType w:start="1"/>
          <w:cols w:space="720"/>
        </w:sectPr>
      </w:pPr>
    </w:p>
    <w:p w:rsidR="005A2DE4" w:rsidRDefault="00A4037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5A2DE4" w:rsidRDefault="005A2DE4">
      <w:pPr>
        <w:spacing w:line="240" w:lineRule="auto"/>
        <w:jc w:val="both"/>
        <w:rPr>
          <w:rFonts w:ascii="Times New Roman" w:eastAsia="Times New Roman" w:hAnsi="Times New Roman" w:cs="Times New Roman"/>
          <w:b/>
          <w:sz w:val="28"/>
          <w:szCs w:val="28"/>
        </w:rPr>
      </w:pPr>
    </w:p>
    <w:p w:rsidR="005A2DE4" w:rsidRDefault="00A40379">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5A2DE4" w:rsidRDefault="005A2DE4">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950"/>
        <w:gridCol w:w="950"/>
        <w:gridCol w:w="950"/>
        <w:gridCol w:w="950"/>
        <w:gridCol w:w="950"/>
        <w:gridCol w:w="950"/>
      </w:tblGrid>
      <w:tr w:rsidR="005A2DE4">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center"/>
              <w:rPr>
                <w:sz w:val="18"/>
                <w:szCs w:val="18"/>
              </w:rPr>
            </w:pPr>
            <w:r>
              <w:rPr>
                <w:rFonts w:ascii="Times New Roman" w:eastAsia="Times New Roman" w:hAnsi="Times New Roman" w:cs="Times New Roman"/>
                <w:sz w:val="18"/>
                <w:szCs w:val="18"/>
              </w:rPr>
              <w:t>Удовлетворенность</w:t>
            </w:r>
          </w:p>
        </w:tc>
      </w:tr>
      <w:tr w:rsidR="005A2DE4">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rPr>
                <w:sz w:val="20"/>
                <w:szCs w:val="20"/>
              </w:rPr>
            </w:pPr>
            <w:r>
              <w:rPr>
                <w:rFonts w:ascii="Times New Roman" w:eastAsia="Times New Roman" w:hAnsi="Times New Roman" w:cs="Times New Roman"/>
              </w:rPr>
              <w:t>Муниципальное бюджетное учреждение «Ары-</w:t>
            </w:r>
            <w:proofErr w:type="spellStart"/>
            <w:r>
              <w:rPr>
                <w:rFonts w:ascii="Times New Roman" w:eastAsia="Times New Roman" w:hAnsi="Times New Roman" w:cs="Times New Roman"/>
              </w:rPr>
              <w:t>Толонское</w:t>
            </w:r>
            <w:proofErr w:type="spellEnd"/>
            <w:r>
              <w:rPr>
                <w:rFonts w:ascii="Times New Roman" w:eastAsia="Times New Roman" w:hAnsi="Times New Roman" w:cs="Times New Roman"/>
              </w:rPr>
              <w:t xml:space="preserve"> культурно-досуговое учреждение» </w:t>
            </w:r>
            <w:proofErr w:type="spellStart"/>
            <w:r>
              <w:rPr>
                <w:rFonts w:ascii="Times New Roman" w:eastAsia="Times New Roman" w:hAnsi="Times New Roman" w:cs="Times New Roman"/>
              </w:rPr>
              <w:t>Томпонского</w:t>
            </w:r>
            <w:proofErr w:type="spellEnd"/>
            <w:r>
              <w:rPr>
                <w:rFonts w:ascii="Times New Roman" w:eastAsia="Times New Roman" w:hAnsi="Times New Roman" w:cs="Times New Roman"/>
              </w:rPr>
              <w:t xml:space="preserve"> района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76,14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82,2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80,5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38,0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87,4</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5A2DE4" w:rsidRDefault="00A40379">
            <w:pPr>
              <w:widowControl w:val="0"/>
              <w:jc w:val="right"/>
              <w:rPr>
                <w:sz w:val="20"/>
                <w:szCs w:val="20"/>
              </w:rPr>
            </w:pPr>
            <w:r>
              <w:rPr>
                <w:rFonts w:ascii="Times New Roman" w:eastAsia="Times New Roman" w:hAnsi="Times New Roman" w:cs="Times New Roman"/>
              </w:rPr>
              <w:t>92,6</w:t>
            </w:r>
          </w:p>
        </w:tc>
      </w:tr>
    </w:tbl>
    <w:p w:rsidR="005A2DE4" w:rsidRDefault="005A2DE4">
      <w:pPr>
        <w:spacing w:line="240" w:lineRule="auto"/>
        <w:jc w:val="both"/>
        <w:rPr>
          <w:rFonts w:ascii="Times New Roman" w:eastAsia="Times New Roman" w:hAnsi="Times New Roman" w:cs="Times New Roman"/>
          <w:b/>
          <w:sz w:val="2"/>
          <w:szCs w:val="2"/>
        </w:rPr>
      </w:pPr>
    </w:p>
    <w:p w:rsidR="005A2DE4" w:rsidRDefault="005A2DE4">
      <w:pPr>
        <w:spacing w:line="240" w:lineRule="auto"/>
        <w:jc w:val="both"/>
        <w:rPr>
          <w:rFonts w:ascii="Times New Roman" w:eastAsia="Times New Roman" w:hAnsi="Times New Roman" w:cs="Times New Roman"/>
          <w:b/>
          <w:sz w:val="24"/>
          <w:szCs w:val="24"/>
        </w:rPr>
      </w:pPr>
    </w:p>
    <w:p w:rsidR="005A2DE4" w:rsidRDefault="00A40379">
      <w:pPr>
        <w:spacing w:line="240" w:lineRule="auto"/>
        <w:jc w:val="both"/>
        <w:rPr>
          <w:rFonts w:ascii="Times New Roman" w:eastAsia="Times New Roman" w:hAnsi="Times New Roman" w:cs="Times New Roman"/>
          <w:b/>
          <w:sz w:val="24"/>
          <w:szCs w:val="24"/>
        </w:rPr>
      </w:pPr>
      <w:r>
        <w:br w:type="page"/>
      </w:r>
    </w:p>
    <w:tbl>
      <w:tblPr>
        <w:tblStyle w:val="af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A2DE4">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ИНДИВИДУАЛЬНЫЕ РЕЗУЛЬТАТЫ. ОРГАНИЗАЦИЯ: Муниципальное бюджетное учреждение «Ары-</w:t>
            </w:r>
            <w:proofErr w:type="spellStart"/>
            <w:r>
              <w:rPr>
                <w:rFonts w:ascii="Times New Roman" w:eastAsia="Times New Roman" w:hAnsi="Times New Roman" w:cs="Times New Roman"/>
                <w:b/>
                <w:sz w:val="24"/>
                <w:szCs w:val="24"/>
              </w:rPr>
              <w:t>Толонское</w:t>
            </w:r>
            <w:proofErr w:type="spellEnd"/>
            <w:r>
              <w:rPr>
                <w:rFonts w:ascii="Times New Roman" w:eastAsia="Times New Roman" w:hAnsi="Times New Roman" w:cs="Times New Roman"/>
                <w:b/>
                <w:sz w:val="24"/>
                <w:szCs w:val="24"/>
              </w:rPr>
              <w:t xml:space="preserve"> культурно-досуговое учреждение» </w:t>
            </w:r>
            <w:proofErr w:type="spellStart"/>
            <w:r>
              <w:rPr>
                <w:rFonts w:ascii="Times New Roman" w:eastAsia="Times New Roman" w:hAnsi="Times New Roman" w:cs="Times New Roman"/>
                <w:b/>
                <w:sz w:val="24"/>
                <w:szCs w:val="24"/>
              </w:rPr>
              <w:t>Томпонского</w:t>
            </w:r>
            <w:proofErr w:type="spellEnd"/>
            <w:r>
              <w:rPr>
                <w:rFonts w:ascii="Times New Roman" w:eastAsia="Times New Roman" w:hAnsi="Times New Roman" w:cs="Times New Roman"/>
                <w:b/>
                <w:sz w:val="24"/>
                <w:szCs w:val="24"/>
              </w:rPr>
              <w:t xml:space="preserve"> района</w:t>
            </w:r>
          </w:p>
        </w:tc>
      </w:tr>
    </w:tbl>
    <w:p w:rsidR="005A2DE4" w:rsidRDefault="005A2DE4">
      <w:pPr>
        <w:spacing w:line="240" w:lineRule="auto"/>
        <w:jc w:val="both"/>
        <w:rPr>
          <w:rFonts w:ascii="Times New Roman" w:eastAsia="Times New Roman" w:hAnsi="Times New Roman" w:cs="Times New Roman"/>
        </w:rPr>
      </w:pPr>
    </w:p>
    <w:tbl>
      <w:tblPr>
        <w:tblStyle w:val="af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A2DE4">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- 76,14; Численность обучающихся - 120;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- 16; Доля респондентов - 0,13; К1 - 82,2;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- 62;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- 12;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- 12;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- 12;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- 84;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- 13; - 14; К2 - 80,5;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- 81; К3 - 38;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- 1; К4 - 87,4;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- 94;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- 15;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- 13;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- 14; К5 - 92,6;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- 94;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- 15;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- 14;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- 87;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- 15; Пуд - 94;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- 15; Пуд - 94. Сокращения и пояснения приведены на странице 2.</w:t>
            </w:r>
          </w:p>
        </w:tc>
      </w:tr>
    </w:tbl>
    <w:p w:rsidR="005A2DE4" w:rsidRDefault="005A2DE4">
      <w:pPr>
        <w:spacing w:line="240" w:lineRule="auto"/>
        <w:ind w:left="720"/>
        <w:jc w:val="both"/>
        <w:rPr>
          <w:rFonts w:ascii="Times New Roman" w:eastAsia="Times New Roman" w:hAnsi="Times New Roman" w:cs="Times New Roman"/>
        </w:rPr>
      </w:pPr>
    </w:p>
    <w:tbl>
      <w:tblPr>
        <w:tblStyle w:val="af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A2DE4">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roofErr w:type="gramEnd"/>
          </w:p>
        </w:tc>
      </w:tr>
    </w:tbl>
    <w:p w:rsidR="005A2DE4" w:rsidRDefault="005A2DE4">
      <w:pPr>
        <w:spacing w:line="240" w:lineRule="auto"/>
        <w:jc w:val="both"/>
        <w:rPr>
          <w:rFonts w:ascii="Times New Roman" w:eastAsia="Times New Roman" w:hAnsi="Times New Roman" w:cs="Times New Roman"/>
        </w:rPr>
      </w:pPr>
    </w:p>
    <w:tbl>
      <w:tblPr>
        <w:tblStyle w:val="af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A2DE4">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нет; 5. Информация о контактных телефонах и об адресах электронной почты - нет;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нет; 8. Устав образовательной организации - нет; 9. Лицензии на осуществление образовательной деятельности (с приложениями) - нет; 10. Свидетельства о государственной аккредитации (с приложениями) - нет;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нет;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ет; 13. Правила внутреннего распорядка обучающихся, правила внутреннего трудового распорядка и коллективный договор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16. Предписания органов, осуществляющих государственный контроль (надзор) в сфере образования, отчеты об исполнении таких предписаний (при наличии)*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17. Информация о реализуемых уровнях образования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18. Информация о формах обучения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19. Информация о нормативных сроках обучения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20. Информация о сроке действия государственной аккредитации образовательных программ (при наличии государственной аккредитации)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21. Информация об описании образовательных программ с приложением их копий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22. Информация об учебных планах реализуемых образовательных программ с приложением их копий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23. Аннотации к рабочим программам дисциплин (по каждой дисциплине в составе образовательной программы) с приложением их копий (при наличии)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24. Информация о </w:t>
            </w:r>
            <w:r>
              <w:rPr>
                <w:rFonts w:ascii="Times New Roman" w:eastAsia="Times New Roman" w:hAnsi="Times New Roman" w:cs="Times New Roman"/>
                <w:sz w:val="20"/>
                <w:szCs w:val="20"/>
              </w:rPr>
              <w:lastRenderedPageBreak/>
              <w:t>календарных учебных графиках с приложением их копий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25. Информация о методических и иных документах, разработанных образовательной организацией для обеспечения образовательного процесса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28. Информация о языках, на которых осуществляется образование (обучение)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29. Образовательные организации, реализующие общеобразовательные программы, дополнительно указывают наименование образовательной программы*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30. Уровень образования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34.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35. Информация о обеспечении доступа в здания образовательной организации инвалидов и лиц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36. Информация о условиях питания обучающихся, в том числе инвалидов и лиц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37. Информация об условиях охраны здоровья обучающихся, в том числе инвалидов и лиц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41. Информация о наличии и условиях предоставления обучающимся стипендий, мер социальной поддержки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42.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43. Информация о наличии и порядке оказания платных образовательных услуг (при наличии)*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45. Информация о поступлении финансовых и материальных средств и об их расходовании по итогам финансового года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46.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Start"/>
            <w:r>
              <w:rPr>
                <w:rFonts w:ascii="Times New Roman" w:eastAsia="Times New Roman" w:hAnsi="Times New Roman" w:cs="Times New Roman"/>
                <w:sz w:val="20"/>
                <w:szCs w:val="20"/>
              </w:rPr>
              <w:t xml:space="preserve"> .</w:t>
            </w:r>
            <w:proofErr w:type="gramEnd"/>
          </w:p>
          <w:p w:rsidR="005A2DE4" w:rsidRDefault="00A4037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5A2DE4" w:rsidRDefault="005A2DE4">
      <w:pPr>
        <w:spacing w:line="240" w:lineRule="auto"/>
        <w:jc w:val="both"/>
        <w:rPr>
          <w:rFonts w:ascii="Times New Roman" w:eastAsia="Times New Roman" w:hAnsi="Times New Roman" w:cs="Times New Roman"/>
          <w:b/>
        </w:rPr>
      </w:pPr>
    </w:p>
    <w:tbl>
      <w:tblPr>
        <w:tblStyle w:val="af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5A2DE4">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5A2DE4" w:rsidRDefault="00A40379">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Обеспечение в организации комфортных условий, в которых осуществляется деятельность: наличие и доступность питьевой воды;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lastRenderedPageBreak/>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5A2DE4" w:rsidRDefault="005A2DE4">
      <w:pPr>
        <w:spacing w:line="240" w:lineRule="auto"/>
        <w:jc w:val="both"/>
        <w:rPr>
          <w:rFonts w:ascii="Times New Roman" w:eastAsia="Times New Roman" w:hAnsi="Times New Roman" w:cs="Times New Roman"/>
        </w:rPr>
      </w:pPr>
    </w:p>
    <w:p w:rsidR="005A2DE4" w:rsidRDefault="005A2DE4">
      <w:pPr>
        <w:spacing w:line="240" w:lineRule="auto"/>
        <w:jc w:val="both"/>
        <w:rPr>
          <w:rFonts w:ascii="Times New Roman" w:eastAsia="Times New Roman" w:hAnsi="Times New Roman" w:cs="Times New Roman"/>
          <w:sz w:val="24"/>
          <w:szCs w:val="24"/>
        </w:rPr>
      </w:pPr>
      <w:bookmarkStart w:id="0" w:name="_GoBack"/>
      <w:bookmarkEnd w:id="0"/>
    </w:p>
    <w:sectPr w:rsidR="005A2DE4">
      <w:pgSz w:w="11906" w:h="16838"/>
      <w:pgMar w:top="1133" w:right="566" w:bottom="566" w:left="566" w:header="720" w:footer="720"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A3" w:rsidRDefault="009C0EA3">
      <w:pPr>
        <w:spacing w:line="240" w:lineRule="auto"/>
      </w:pPr>
      <w:r>
        <w:separator/>
      </w:r>
    </w:p>
  </w:endnote>
  <w:endnote w:type="continuationSeparator" w:id="0">
    <w:p w:rsidR="009C0EA3" w:rsidRDefault="009C0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E4" w:rsidRDefault="005A2DE4">
    <w:pPr>
      <w:jc w:val="center"/>
      <w:rPr>
        <w:rFonts w:ascii="Times New Roman" w:eastAsia="Times New Roman" w:hAnsi="Times New Roman" w:cs="Times New Roman"/>
        <w:i/>
        <w:sz w:val="18"/>
        <w:szCs w:val="18"/>
        <w:shd w:val="clear" w:color="auto" w:fill="D9D9D9"/>
      </w:rPr>
    </w:pPr>
  </w:p>
  <w:p w:rsidR="005A2DE4" w:rsidRDefault="005A2DE4">
    <w:pPr>
      <w:jc w:val="center"/>
      <w:rPr>
        <w:rFonts w:ascii="Times New Roman" w:eastAsia="Times New Roman" w:hAnsi="Times New Roman" w:cs="Times New Roman"/>
        <w:i/>
        <w:sz w:val="18"/>
        <w:szCs w:val="18"/>
        <w:shd w:val="clear" w:color="auto" w:fill="D9D9D9"/>
      </w:rPr>
    </w:pPr>
  </w:p>
  <w:p w:rsidR="005A2DE4" w:rsidRDefault="00A40379">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5A2DE4" w:rsidRDefault="005A2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A3" w:rsidRDefault="009C0EA3">
      <w:pPr>
        <w:spacing w:line="240" w:lineRule="auto"/>
      </w:pPr>
      <w:r>
        <w:separator/>
      </w:r>
    </w:p>
  </w:footnote>
  <w:footnote w:type="continuationSeparator" w:id="0">
    <w:p w:rsidR="009C0EA3" w:rsidRDefault="009C0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E4" w:rsidRDefault="00A40379">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5A2DE4" w:rsidRDefault="005A2DE4">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71AD"/>
    <w:multiLevelType w:val="multilevel"/>
    <w:tmpl w:val="8EAE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E4"/>
    <w:rsid w:val="005A2DE4"/>
    <w:rsid w:val="008E35E4"/>
    <w:rsid w:val="009C0EA3"/>
    <w:rsid w:val="00A40379"/>
    <w:rsid w:val="00D7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D779A8"/>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D77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D779A8"/>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D7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3342</Words>
  <Characters>19052</Characters>
  <Application>Microsoft Office Word</Application>
  <DocSecurity>0</DocSecurity>
  <Lines>158</Lines>
  <Paragraphs>44</Paragraphs>
  <ScaleCrop>false</ScaleCrop>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3</cp:revision>
  <dcterms:created xsi:type="dcterms:W3CDTF">2020-08-13T06:26:00Z</dcterms:created>
  <dcterms:modified xsi:type="dcterms:W3CDTF">2023-07-13T12:54:00Z</dcterms:modified>
</cp:coreProperties>
</file>